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657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843"/>
        <w:gridCol w:w="9814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71"/>
              <w:numPr>
                <w:ilvl w:val="0"/>
                <w:numId w:val="2"/>
              </w:num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num" w:pos="0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tabs>
                <w:tab w:val="num" w:pos="0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-142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360" w:lineRule="auto"/>
        <w:tabs>
          <w:tab w:val="num" w:pos="-142" w:leader="none"/>
        </w:tabs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РАБОЧАЯ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ПРОГРАММА ДИСЦИПЛИНЫ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УДД (ЭК) 01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Инженерное проектирование в форме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/>
        <w:tabs>
          <w:tab w:val="num" w:pos="-142" w:leader="none"/>
        </w:tabs>
        <w:rPr>
          <w:rFonts w:ascii="Times New Roman" w:hAnsi="Times New Roman" w:eastAsia="Batang" w:cs="Batang"/>
          <w:iCs/>
          <w:sz w:val="24"/>
          <w:szCs w:val="24"/>
          <w:lang w:eastAsia="ru-RU"/>
        </w:rPr>
      </w:pPr>
      <w:r>
        <w:rPr>
          <w:rFonts w:ascii="Times New Roman" w:hAnsi="Times New Roman" w:eastAsia="Batang" w:cs="Batang"/>
          <w:iCs/>
          <w:sz w:val="24"/>
          <w:szCs w:val="24"/>
          <w:lang w:eastAsia="ru-RU"/>
        </w:rPr>
        <w:t xml:space="preserve">15.01.05 Сварщик </w:t>
      </w:r>
      <w:r>
        <w:rPr>
          <w:rFonts w:ascii="Times New Roman" w:hAnsi="Times New Roman" w:eastAsia="Batang"/>
          <w:bCs/>
          <w:sz w:val="24"/>
          <w:szCs w:val="24"/>
          <w:lang w:eastAsia="ru-RU"/>
        </w:rPr>
        <w:t xml:space="preserve">(ручной и частично механизированной сварки (наплавки))</w:t>
      </w:r>
      <w:r>
        <w:rPr>
          <w:rFonts w:ascii="Times New Roman" w:hAnsi="Times New Roman" w:eastAsia="Batang" w:cs="Batang"/>
          <w:iCs/>
          <w:sz w:val="24"/>
          <w:szCs w:val="24"/>
          <w:lang w:eastAsia="ru-RU"/>
        </w:rPr>
      </w:r>
    </w:p>
    <w:p>
      <w:pPr>
        <w:jc w:val="center"/>
        <w:spacing w:after="0"/>
        <w:tabs>
          <w:tab w:val="num" w:pos="-142" w:leader="none"/>
        </w:tabs>
        <w:rPr>
          <w:rFonts w:ascii="Times New Roman" w:hAnsi="Times New Roman" w:eastAsia="Batang" w:cs="Batang"/>
          <w:iCs/>
          <w:sz w:val="24"/>
          <w:szCs w:val="24"/>
          <w:lang w:eastAsia="ru-RU"/>
        </w:rPr>
      </w:pPr>
      <w:r>
        <w:rPr>
          <w:rFonts w:ascii="Times New Roman" w:hAnsi="Times New Roman" w:eastAsia="Batang" w:cs="Batang"/>
          <w:iCs/>
          <w:sz w:val="24"/>
          <w:szCs w:val="24"/>
          <w:lang w:eastAsia="ru-RU"/>
        </w:rPr>
      </w:r>
      <w:r>
        <w:rPr>
          <w:rFonts w:ascii="Times New Roman" w:hAnsi="Times New Roman" w:eastAsia="Batang" w:cs="Batang"/>
          <w:iCs/>
          <w:sz w:val="24"/>
          <w:szCs w:val="24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exact"/>
        <w:tabs>
          <w:tab w:val="num" w:pos="-14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tabs>
          <w:tab w:val="num" w:pos="-142" w:leader="none"/>
        </w:tabs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2025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pStyle w:val="878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8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875"/>
            <w:rFonts w:eastAsia="Arial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875"/>
            <w:rFonts w:eastAsia="Arial"/>
            <w:color w:val="auto"/>
          </w:rPr>
          <w:tab/>
        </w:r>
      </w:hyperlink>
      <w:r/>
      <w:r/>
    </w:p>
    <w:p>
      <w:pPr>
        <w:pStyle w:val="8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875"/>
            <w:rFonts w:eastAsia="Arial"/>
            <w:color w:val="auto"/>
          </w:rPr>
          <w:t xml:space="preserve">1.2. Планируемые результаты освоения дисциплины</w:t>
        </w:r>
        <w:r>
          <w:rPr>
            <w:rStyle w:val="875"/>
            <w:rFonts w:eastAsia="Arial"/>
            <w:color w:val="auto"/>
          </w:rPr>
          <w:tab/>
        </w:r>
      </w:hyperlink>
      <w:r/>
      <w:r/>
    </w:p>
    <w:p>
      <w:pPr>
        <w:pStyle w:val="8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875"/>
            <w:rFonts w:eastAsia="Arial"/>
            <w:color w:val="auto"/>
          </w:rPr>
          <w:t xml:space="preserve">2.1. Трудоемкость освоения дисциплины</w:t>
        </w:r>
        <w:r>
          <w:rPr>
            <w:rStyle w:val="875"/>
            <w:rFonts w:eastAsia="Arial"/>
            <w:color w:val="auto"/>
          </w:rPr>
          <w:tab/>
        </w:r>
      </w:hyperlink>
      <w:r/>
      <w:r/>
    </w:p>
    <w:p>
      <w:pPr>
        <w:pStyle w:val="8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875"/>
            <w:rFonts w:eastAsia="Arial"/>
            <w:color w:val="auto"/>
          </w:rPr>
          <w:t xml:space="preserve">2.2. Содержание дисциплины</w:t>
        </w:r>
        <w:r>
          <w:rPr>
            <w:rStyle w:val="875"/>
            <w:rFonts w:eastAsia="Arial"/>
            <w:color w:val="auto"/>
          </w:rPr>
          <w:tab/>
        </w:r>
      </w:hyperlink>
      <w:r/>
      <w:r/>
    </w:p>
    <w:p>
      <w:pPr>
        <w:pStyle w:val="8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875"/>
            <w:rFonts w:eastAsia="Arial"/>
            <w:color w:val="auto"/>
          </w:rPr>
          <w:t xml:space="preserve">3.1. Материально-техническое обеспечение</w:t>
        </w:r>
        <w:r>
          <w:rPr>
            <w:rStyle w:val="875"/>
            <w:rFonts w:eastAsia="Arial"/>
            <w:color w:val="auto"/>
          </w:rPr>
          <w:tab/>
        </w:r>
      </w:hyperlink>
      <w:r/>
      <w:r/>
    </w:p>
    <w:p>
      <w:pPr>
        <w:pStyle w:val="879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875"/>
            <w:rFonts w:eastAsia="Arial"/>
            <w:color w:val="auto"/>
          </w:rPr>
          <w:t xml:space="preserve">3.2. Учебно-методическое обеспечение</w:t>
        </w:r>
        <w:r>
          <w:rPr>
            <w:rStyle w:val="875"/>
            <w:rFonts w:eastAsia="Arial"/>
            <w:color w:val="auto"/>
          </w:rPr>
          <w:tab/>
        </w:r>
      </w:hyperlink>
      <w:r/>
      <w:r/>
    </w:p>
    <w:p>
      <w:pPr>
        <w:pStyle w:val="879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75"/>
            <w:rFonts w:eastAsia="Arial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79"/>
        <w:keepNext/>
        <w:spacing w:before="0" w:beforeAutospacing="0" w:after="120" w:afterAutospacing="0"/>
      </w:pPr>
      <w:r>
        <w:t xml:space="preserve"> </w:t>
      </w:r>
      <w:r/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ind w:right="2" w:firstLine="567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</w:r>
      <w:r>
        <w:rPr>
          <w:rFonts w:ascii="Times New Roman" w:hAnsi="Times New Roman" w:cs="Times New Roman"/>
          <w:sz w:val="24"/>
          <w:szCs w:val="24"/>
          <w:lang w:eastAsia="zh-CN"/>
        </w:rPr>
      </w:r>
    </w:p>
    <w:p>
      <w:pPr>
        <w:pStyle w:val="878"/>
        <w:jc w:val="center"/>
        <w:spacing w:before="0" w:beforeAutospacing="0" w:after="0" w:afterAutospacing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color w:val="000000"/>
          <w:sz w:val="28"/>
          <w:szCs w:val="28"/>
        </w:rPr>
        <w:t xml:space="preserve">1. ПОЯСНИТЕЛЬНАЯ ЗАПИСКА</w:t>
      </w:r>
      <w:r/>
    </w:p>
    <w:p>
      <w:pPr>
        <w:pStyle w:val="879"/>
        <w:ind w:firstLine="567"/>
        <w:jc w:val="both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Рабочая программа учебной дисциплины</w:t>
      </w:r>
      <w:r>
        <w:rPr>
          <w:b/>
          <w:bCs/>
          <w:i/>
          <w:iCs/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УДД (ЭК) 01 Инженерное проектирование в форме индивидуального проекта составлена  на основе требований к ре</w:t>
      </w:r>
      <w:r>
        <w:rPr>
          <w:color w:val="000000"/>
          <w:sz w:val="28"/>
          <w:szCs w:val="28"/>
        </w:rPr>
        <w:t xml:space="preserve">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августа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2022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г.),  в соответствии 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</w:t>
      </w:r>
      <w:r>
        <w:rPr>
          <w:color w:val="000000"/>
          <w:sz w:val="28"/>
          <w:szCs w:val="28"/>
        </w:rPr>
        <w:t xml:space="preserve"> от 19.03.2024 года), с учетом требований Федерального государственного образовательного стандарта  по профессии 15.01.05 Сварщик (ручной и частично механизированной сварки (наплавки), (утвержденного Приказом Министерство Просвещения России от 15.11.2023 N</w:t>
      </w:r>
      <w:r>
        <w:rPr>
          <w:color w:val="000000"/>
          <w:sz w:val="28"/>
          <w:szCs w:val="28"/>
        </w:rPr>
        <w:t xml:space="preserve"> 863),  с учетом  рабочей программы воспитания по профессии  15.01.05 Сварщик (ручной частично механизированной сварки (наплавки).</w:t>
      </w:r>
      <w:r/>
    </w:p>
    <w:p>
      <w:pPr>
        <w:pStyle w:val="879"/>
        <w:ind w:firstLine="709"/>
        <w:jc w:val="both"/>
        <w:spacing w:before="0" w:beforeAutospacing="0" w:after="0" w:afterAutospacing="0" w:line="273" w:lineRule="auto"/>
      </w:pPr>
      <w:r>
        <w:t xml:space="preserve"> </w:t>
      </w:r>
      <w:r/>
    </w:p>
    <w:p>
      <w:pPr>
        <w:ind w:left="1200" w:right="-185"/>
        <w:spacing w:after="0" w:line="240" w:lineRule="auto"/>
        <w:tabs>
          <w:tab w:val="left" w:pos="48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9"/>
        <w:ind w:firstLine="709"/>
        <w:jc w:val="both"/>
        <w:spacing w:before="0" w:beforeAutospacing="0" w:after="0" w:afterAutospacing="0" w:line="273" w:lineRule="auto"/>
      </w:pPr>
      <w:r/>
      <w:r/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eastAsia="Times New Roman" w:cs="Times New Roman"/>
          <w:color w:val="1f497d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учебная дисциплина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Инженерное проектирование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» является дополнительной (элективной)  дисциплиной по выбору профессиональной направленности, реализуемой  за счет часов ФГОС СОО, согласно учебного плана ОПОП СПО по профессии  15.01.05 Сварщик (ручной и частично механизированной сварки (наплавки)).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ind w:right="2" w:firstLine="567"/>
        <w:jc w:val="both"/>
        <w:spacing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1.2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. Цели и задачи дисциплины – требования к результатам освоения дисциплины:</w:t>
      </w:r>
      <w:r>
        <w:rPr>
          <w:rFonts w:ascii="Times New Roman" w:hAnsi="Times New Roman" w:cs="Times New Roman"/>
          <w:b/>
          <w:color w:val="231f2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направлена на ознакомление обучающихся с общепринятой логикой разработки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сферах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человека,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видами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других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источников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формами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работы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ними;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методами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исследования,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видами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жанрами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научных текстов, способами представления результатов проведенного исследования или проекта,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критериями оценки проектов. </w:t>
      </w:r>
      <w:r>
        <w:rPr>
          <w:sz w:val="28"/>
          <w:szCs w:val="28"/>
          <w:lang w:val="ru-RU"/>
        </w:rPr>
        <w:t xml:space="preserve">Программа предусматривает систему практических работ,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главная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цель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которых —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формирование у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обучающихся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опыта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выполнения проекта.</w:t>
      </w:r>
      <w:r>
        <w:rPr>
          <w:sz w:val="28"/>
          <w:szCs w:val="28"/>
          <w:lang w:val="ru-RU"/>
        </w:rPr>
        <w:t xml:space="preserve"> Актуальность программы также обусловлена её методологической значимостью. Знания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умения, необходимые для организации проектной и исследовательской деятельности, в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будущем станут основой для организации научно-</w:t>
      </w:r>
      <w:r>
        <w:rPr>
          <w:sz w:val="28"/>
          <w:szCs w:val="28"/>
          <w:lang w:val="ru-RU"/>
        </w:rPr>
        <w:t xml:space="preserve">исследовательской деятельности на последующей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ступени обучения. 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b/>
          <w:spacing w:val="-1"/>
          <w:sz w:val="28"/>
          <w:szCs w:val="28"/>
          <w:lang w:val="ru-RU"/>
        </w:rPr>
        <w:t xml:space="preserve">Целью</w:t>
      </w:r>
      <w:r>
        <w:rPr>
          <w:b/>
          <w:spacing w:val="-9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изучения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дисциплины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системе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образования является формирование и развитие познавательных интересов, интеллектуальных,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творческих и коммуникативных способностей, определяющих формирование компетент</w:t>
      </w:r>
      <w:r>
        <w:rPr>
          <w:spacing w:val="-1"/>
          <w:sz w:val="28"/>
          <w:szCs w:val="28"/>
          <w:lang w:val="ru-RU"/>
        </w:rPr>
        <w:t xml:space="preserve">ной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личности,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способной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жизнедеятельности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самоопределению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информационном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обществе, посредством освоения методов научного познания и умений учебно-исследовательской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 деятельности. 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Задачи</w:t>
      </w:r>
      <w:r>
        <w:rPr>
          <w:b/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дисциплины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приобретение знаний о структуре проектной и исследовательской деятельности; 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поиска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необходимой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для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результатов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презентации </w:t>
      </w:r>
      <w:r>
        <w:rPr>
          <w:sz w:val="28"/>
          <w:szCs w:val="28"/>
          <w:lang w:val="ru-RU"/>
        </w:rPr>
        <w:t xml:space="preserve">;о</w:t>
      </w:r>
      <w:r>
        <w:rPr>
          <w:sz w:val="28"/>
          <w:szCs w:val="28"/>
          <w:lang w:val="ru-RU"/>
        </w:rPr>
        <w:t xml:space="preserve">владение способами деятельностей: учебно-познавательной, информационно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коммуникативной,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рефлексивной; освоение основных компетенций: ценностно-смысловой, учебно-познавательной ,информационной,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коммуникативной; выявление образовательного запроса обучающихся с целью определения приоритетных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направлений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проектно-исследовательской деятельности </w:t>
      </w:r>
      <w:r>
        <w:rPr>
          <w:sz w:val="28"/>
          <w:szCs w:val="28"/>
          <w:lang w:val="ru-RU"/>
        </w:rPr>
        <w:t xml:space="preserve">;в</w:t>
      </w:r>
      <w:r>
        <w:rPr>
          <w:sz w:val="28"/>
          <w:szCs w:val="28"/>
          <w:lang w:val="ru-RU"/>
        </w:rPr>
        <w:t xml:space="preserve">ыстраивание целостной системы работы с обучающимися, склонными к проектно-исследовательской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творческой деятельности; развитие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познавательной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активности,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интеллектуальных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творческих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способностей ;приобретение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обучающимися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опыта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сотрудничества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различными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организациями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проекта; развитие интереса обучающихся к изучению проблемных вопросов мировой и отечествен-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науки; формирование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навыков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продуманной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аргументации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культуры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рассуждения.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изучении основ проектирования обеспечивается достижение личностных, </w:t>
      </w:r>
      <w:r>
        <w:rPr>
          <w:sz w:val="28"/>
          <w:szCs w:val="28"/>
          <w:lang w:val="ru-RU"/>
        </w:rPr>
        <w:t xml:space="preserve">метапредметных</w:t>
      </w:r>
      <w:r>
        <w:rPr>
          <w:sz w:val="28"/>
          <w:szCs w:val="28"/>
          <w:lang w:val="ru-RU"/>
        </w:rPr>
        <w:t xml:space="preserve"> 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предметных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результатов.</w:t>
      </w:r>
      <w:r>
        <w:rPr>
          <w:sz w:val="28"/>
          <w:szCs w:val="28"/>
          <w:lang w:val="ru-RU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Личностные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результаты</w:t>
      </w:r>
      <w:r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освоения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обучающимися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дисциплины»: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формирование ответственного отношения к учению, готовности и способности, </w:t>
      </w:r>
      <w:r>
        <w:rPr>
          <w:sz w:val="28"/>
          <w:szCs w:val="28"/>
          <w:lang w:val="ru-RU"/>
        </w:rPr>
        <w:t xml:space="preserve">обучающихся</w:t>
      </w:r>
      <w:r>
        <w:rPr>
          <w:sz w:val="28"/>
          <w:szCs w:val="28"/>
          <w:lang w:val="ru-RU"/>
        </w:rPr>
        <w:t xml:space="preserve"> к саморазвитию и самообразованию на основе мотивации к обучению и познанию;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овладение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элементами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организации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умственного 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физического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труда;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самооценка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умственных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физических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способностей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различных сферах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позиций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будущей социализации;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развитие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трудолюбия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ответственности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результаты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своей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деятельности;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выражение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желания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учиться для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удовлетворения перспективных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потребностей;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осознанный выбор и построение дальнейшей индивидуальной траектории образования на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базе осознанного ориентирования в мире профессий и профессиональных предпочтений с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учётом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устойчивых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познавательных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интересов;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формирование коммуникативной компетентности в общении и сотрудничестве со сверст</w:t>
      </w:r>
      <w:r>
        <w:rPr>
          <w:spacing w:val="-1"/>
          <w:sz w:val="28"/>
          <w:szCs w:val="28"/>
          <w:lang w:val="ru-RU"/>
        </w:rPr>
        <w:t xml:space="preserve">никами;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умение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общаться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при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коллективном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выполнении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или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проектов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учётом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общности интересов и возможностей коллектива;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проявление технико-технологического и экономического мышления при организации проектной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формирование основ проектной культуры, соответствующей современному уровню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проектного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мышления;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бережное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отношение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природным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хозяйственным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ресурсам;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формирование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индивидуально-личностных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позиций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обучающихся.</w:t>
      </w:r>
      <w:r>
        <w:rPr>
          <w:sz w:val="28"/>
          <w:szCs w:val="28"/>
          <w:lang w:val="ru-RU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Метапредметные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результаты </w:t>
      </w:r>
      <w:r>
        <w:rPr>
          <w:rFonts w:ascii="Times New Roman" w:hAnsi="Times New Roman" w:cs="Times New Roman"/>
          <w:sz w:val="28"/>
          <w:szCs w:val="28"/>
        </w:rPr>
        <w:t xml:space="preserve">освоения </w:t>
      </w:r>
      <w:r>
        <w:rPr>
          <w:rFonts w:ascii="Times New Roman" w:hAnsi="Times New Roman" w:cs="Times New Roman"/>
          <w:sz w:val="28"/>
          <w:szCs w:val="28"/>
        </w:rPr>
        <w:t xml:space="preserve"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самостоятельное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определение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цели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своего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обучения,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постановка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формулировка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для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себя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новых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задач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учёбе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познавательной деятельности;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алгоритмизированное</w:t>
      </w:r>
      <w:r>
        <w:rPr>
          <w:spacing w:val="3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планирование</w:t>
      </w:r>
      <w:r>
        <w:rPr>
          <w:spacing w:val="3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процесса</w:t>
      </w:r>
      <w:r>
        <w:rPr>
          <w:spacing w:val="3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познавательно-трудовой</w:t>
      </w:r>
      <w:r>
        <w:rPr>
          <w:spacing w:val="3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3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</w:t>
      </w:r>
      <w:r>
        <w:rPr>
          <w:spacing w:val="3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выявление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потребностей,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проектирование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создание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объектов,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имеющих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потребительную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стоимость;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самостоятельная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организация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выполнение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различных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проектных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созданию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изделий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продуктов;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осознанное использование речевых сре</w:t>
      </w:r>
      <w:r>
        <w:rPr>
          <w:sz w:val="28"/>
          <w:szCs w:val="28"/>
          <w:lang w:val="ru-RU"/>
        </w:rPr>
        <w:t xml:space="preserve">дств в с</w:t>
      </w:r>
      <w:r>
        <w:rPr>
          <w:sz w:val="28"/>
          <w:szCs w:val="28"/>
          <w:lang w:val="ru-RU"/>
        </w:rPr>
        <w:t xml:space="preserve">оответствии с задачей коммуникации для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выражения своих чувств, мыслей и потребностей; планирование и регуляция своей деятельности; подбор аргументов, </w:t>
      </w:r>
      <w:r>
        <w:rPr>
          <w:sz w:val="28"/>
          <w:szCs w:val="28"/>
          <w:lang w:val="ru-RU"/>
        </w:rPr>
        <w:t xml:space="preserve">формулирование выводов по обоснованию того или иного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решения;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отражение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устной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или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письменной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форме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своей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формирование и развитие компетентности в области использования информационно коммуникационных технологий (ИКТ); выбор для решения познавательных и коммуникативных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задач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различных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источников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включая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энциклопедии,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словари,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интернет-ресурсы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другие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базы данных;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организация учебного сотрудничества и совместной деятельности с преподавателем и сверстниками; согласование и координация совместной познавательно-трудовой и проектной деятельности с другими её участниками; объективное оценивание вклада своей деятельности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решение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общих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задач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коллектива;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оценивание правильности выполнения учебной задачи, собственных возможностей её решения; диагностика результатов познавательно-трудовой и проектной деятельности по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принятым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критериям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показателям;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соблюдение норм и правил безопасности познавательно-трудовой и проектной деятельности;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оценивание своей деятельности с точки зрения нравственных, правовых норм, эстетических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ценностей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принятым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обществе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коллективе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требованиям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принципам;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формирование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развитие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экологического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мышления,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умение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применять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его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познавательной,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коммуникативной,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социальной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практике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профессиональной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ориентации.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Предметные результаты </w:t>
      </w:r>
      <w:r>
        <w:rPr>
          <w:sz w:val="28"/>
          <w:szCs w:val="28"/>
          <w:lang w:val="ru-RU"/>
        </w:rPr>
        <w:t xml:space="preserve">освоения студентами программы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освоение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алгоритма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разработки</w:t>
      </w:r>
      <w:r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(разработка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проекта,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планирование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 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рамках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проекта,);освоение алгоритма выполнения исследовательского проекта (освоение приемов поиска 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отбора проблем для исследования, сбора и анализа информации для исследования, плани</w:t>
      </w:r>
      <w:r>
        <w:rPr>
          <w:spacing w:val="-1"/>
          <w:sz w:val="28"/>
          <w:szCs w:val="28"/>
          <w:lang w:val="ru-RU"/>
        </w:rPr>
        <w:t xml:space="preserve">рование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подготовки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проведения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исследования,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обработка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результатов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исследования,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</w:t>
      </w:r>
      <w:r>
        <w:rPr>
          <w:sz w:val="28"/>
          <w:szCs w:val="28"/>
          <w:lang w:val="ru-RU"/>
        </w:rPr>
        <w:t xml:space="preserve">д-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готовка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отчётов 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презентации по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проекту);формирование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представлений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методах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научного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исследования,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правилах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научной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коммуникации ;формирование навыков обработки информации, письменной и устной коммуникации;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освоение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алгоритма выполнения инженерного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проекта; формирование представлений о специфике </w:t>
      </w:r>
      <w:r>
        <w:rPr>
          <w:sz w:val="28"/>
          <w:szCs w:val="28"/>
          <w:lang w:val="ru-RU"/>
        </w:rPr>
        <w:t xml:space="preserve">проектной деятельности в социальной сфере,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основных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источниках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способах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сбора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первичной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поисковом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</w:t>
      </w:r>
      <w:r>
        <w:rPr>
          <w:sz w:val="28"/>
          <w:szCs w:val="28"/>
          <w:lang w:val="ru-RU"/>
        </w:rPr>
        <w:t xml:space="preserve">тапе социального проекта; о требованиях к постановке цели и формулировке задач социального проекта, способах планирования, результатах и способах оценки, алгоритмах выполнения действий, типичных для социального проекта, рисках и способах их предотвращения;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освоение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способов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сбора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первичной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(мониторинг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прессы,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проведение социологического опроса), алгоритма обоснования желаемой ситуации, анализа ситуации, анализа проблемы с помощью построения дерева проблем, анализа альтернативных способов решения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проблемы,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алгоритма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постановки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цели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задач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использованием дерева проблем, планирования и оценки результатов и последствий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социального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проекта,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техники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текущего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мониторинга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проекту;</w:t>
      </w:r>
      <w:r>
        <w:rPr>
          <w:sz w:val="28"/>
          <w:szCs w:val="28"/>
          <w:lang w:val="ru-RU"/>
        </w:rPr>
      </w:r>
    </w:p>
    <w:p>
      <w:pPr>
        <w:pStyle w:val="872"/>
        <w:ind w:left="0" w:right="2" w:firstLine="567"/>
        <w:jc w:val="both"/>
        <w:spacing w:line="360" w:lineRule="auto"/>
        <w:tabs>
          <w:tab w:val="num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формирование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навыков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планирования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реализации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этапа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сбора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первичной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обработки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информации, анализа ситуации, проблемы, альтернативных решений, целеполагания,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планирования результатов, планирование деятельности, анализа рисков, управления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проектом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процессе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его реализации,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проведения публичных акций.</w:t>
      </w:r>
      <w:r>
        <w:rPr>
          <w:sz w:val="28"/>
          <w:szCs w:val="28"/>
          <w:lang w:val="ru-RU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Личностные результаты освоения программы для лиц с ОВЗ: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1. для глухих, слабослышащих, позднооглохших обучающихся: спос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 а также при желании коммуникации на основе жестовой речи с лицами, имеющими нарушение слуха;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2. для обучающихся с нарушениями опорно-двигательного аппарата: владение навыками пространственной и социально-бытовой ориентировки, уме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ние самостоятельно и безопасно передвигаться в знакомом и незнакомом пространстве с использованием специального оборудования; способность к осмыслению социального окружения, своего места в нем принятие соответствующих возрасту ценностей и социальных ролей;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3. для обучающихся с расстройствами аутистического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спектра: 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 знание своих предпочтений (ограничений) в бытовой сфере и сфере интересов.</w:t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</w:r>
    </w:p>
    <w:p>
      <w:pPr>
        <w:ind w:right="2" w:firstLine="567"/>
        <w:jc w:val="both"/>
        <w:spacing w:line="360" w:lineRule="auto"/>
        <w:tabs>
          <w:tab w:val="num" w:pos="0" w:leader="none"/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  <w:lang w:eastAsia="zh-CN"/>
        </w:rPr>
        <w:t xml:space="preserve">Метапредметных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  <w:lang w:eastAsia="zh-CN"/>
        </w:rPr>
        <w:t xml:space="preserve">: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numPr>
          <w:ilvl w:val="0"/>
          <w:numId w:val="3"/>
        </w:numPr>
        <w:ind w:left="0" w:right="2" w:firstLine="567"/>
        <w:jc w:val="both"/>
        <w:spacing w:after="0" w:line="360" w:lineRule="auto"/>
        <w:tabs>
          <w:tab w:val="num" w:pos="0" w:leader="none"/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pacing w:val="-6"/>
          <w:sz w:val="28"/>
          <w:szCs w:val="28"/>
        </w:rPr>
        <w:t xml:space="preserve">использ</w:t>
      </w:r>
      <w:r>
        <w:rPr>
          <w:rFonts w:ascii="Times New Roman" w:hAnsi="Times New Roman" w:eastAsia="Calibri" w:cs="Times New Roman"/>
          <w:spacing w:val="-6"/>
          <w:sz w:val="28"/>
          <w:szCs w:val="28"/>
        </w:rPr>
        <w:t xml:space="preserve">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</w:t>
      </w:r>
      <w:r>
        <w:rPr>
          <w:rFonts w:ascii="Times New Roman" w:hAnsi="Times New Roman" w:eastAsia="Calibri" w:cs="Times New Roman"/>
          <w:spacing w:val="-6"/>
          <w:sz w:val="28"/>
          <w:szCs w:val="28"/>
        </w:rPr>
        <w:t xml:space="preserve">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pacing w:val="-6"/>
          <w:sz w:val="28"/>
          <w:szCs w:val="28"/>
        </w:rPr>
        <w:t xml:space="preserve"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Мета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предметные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 результаты освоения дисциплины для лиц с ОВЗ: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 xml:space="preserve">1. для глухих, слабослышащих, позднооглохших обучающихся: владение навыками определения и исправления специфических ошибок (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аграмматизмов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) в письменной и устной речи</w:t>
      </w:r>
      <w:r>
        <w:rPr>
          <w:rFonts w:ascii="Times New Roman" w:hAnsi="Times New Roman" w:cs="Times New Roman"/>
          <w:sz w:val="28"/>
          <w:szCs w:val="28"/>
          <w:lang w:eastAsia="zh-CN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 xml:space="preserve">2. для обучающихся с расстройствами  аутистического спектра: а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)с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пособность планировать контролировать и оценивать собственные учебные действия в соответствии с поставленной с поставленной задачей и условиями ее реализации при сопровождающей помощи педагогического работника и организующей помощи 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тьютора</w:t>
      </w:r>
      <w:r>
        <w:rPr>
          <w:rFonts w:ascii="Times New Roman" w:hAnsi="Times New Roman" w:eastAsia="Calibri" w:cs="Times New Roman"/>
          <w:bCs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тьютора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тьютора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овладение умением оценивать результат своей деятельности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соответствии с заданными эталонами при организующей помощи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тьютора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тьютора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овладение умением активного использования знаково-символических сре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дств дл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тьютора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способность самостоятельно обратиться к педагогическому работнику (педагогу-психологу, социальному педагогу) в случае лич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ных затруднений в решении какого-либо вопроса;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 </w:t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b/>
          <w:i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pacing w:val="-6"/>
          <w:sz w:val="28"/>
          <w:szCs w:val="28"/>
        </w:rPr>
      </w:r>
      <w:r>
        <w:rPr>
          <w:rFonts w:ascii="Times New Roman" w:hAnsi="Times New Roman" w:cs="Times New Roman"/>
          <w:b/>
          <w:i/>
          <w:iCs/>
          <w:spacing w:val="-6"/>
          <w:sz w:val="28"/>
          <w:szCs w:val="28"/>
        </w:rPr>
      </w:r>
    </w:p>
    <w:p>
      <w:pPr>
        <w:jc w:val="center"/>
        <w:tabs>
          <w:tab w:val="num" w:pos="0" w:leader="none"/>
        </w:tabs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20" w:bottom="720" w:left="1276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1440" w:right="-185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1.2.2.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Основы компьютерной графики в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alibri" w:hAnsi="Calibri" w:eastAsia="Times New Roman" w:cs="Calibri"/>
          <w:color w:val="000000"/>
          <w:lang w:eastAsia="ru-RU"/>
        </w:rPr>
        <w:t xml:space="preserve">- личностных результатов  (согласно рабочей программе воспитания)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>
        <w:tblPrEx/>
        <w:trPr>
          <w:jc w:val="center"/>
          <w:tblCellSpacing w:w="0" w:type="dxa"/>
          <w:trHeight w:val="8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tabs>
                <w:tab w:val="left" w:pos="3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9"/>
              <w:jc w:val="both"/>
              <w:spacing w:after="0" w:line="273" w:lineRule="auto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классификации и обобщения;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50"/>
              <w:jc w:val="both"/>
              <w:spacing w:after="0" w:line="273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 классификация графических редакторов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распознавания и защиты информации, информационной безопасности личности.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03. Планировать и реализовывать собственное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721"/>
              <w:spacing w:after="0" w:line="240" w:lineRule="auto"/>
              <w:tabs>
                <w:tab w:val="left" w:pos="0" w:leader="none"/>
                <w:tab w:val="left" w:pos="568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осуществлять проектную и исследовательскую деятельность индивидуально и в 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387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2"/>
              <w:jc w:val="both"/>
              <w:spacing w:after="0" w:line="273" w:lineRule="auto"/>
              <w:tabs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ind w:left="1"/>
              <w:spacing w:after="0" w:line="240" w:lineRule="auto"/>
              <w:tabs>
                <w:tab w:val="left" w:pos="1" w:leader="none"/>
                <w:tab w:val="left" w:pos="201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7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7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привычек и иных форм причинения вреда физическому и психическому здоровью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Предрасположенность к формированию ПК 1.3., 1.4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владеть умениями применять полученные знания при составлении технической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tabs>
          <w:tab w:val="num" w:pos="0" w:leader="none"/>
        </w:tabs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720" w:right="720" w:bottom="1276" w:left="720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960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2.СТРУКТУРА И СОДЕРЖАНИЕ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91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878"/>
        <w:ind w:firstLine="709"/>
        <w:spacing w:before="0" w:beforeAutospacing="0" w:after="120" w:afterAutospacing="0" w:line="273" w:lineRule="auto"/>
      </w:pPr>
      <w:r/>
      <w:bookmarkStart w:id="0" w:name="undefined"/>
      <w:r/>
      <w:bookmarkStart w:id="0" w:name="undefined"/>
      <w:r/>
      <w:bookmarkStart w:id="0" w:name="undefined"/>
      <w:r/>
      <w:bookmarkEnd w:id="0"/>
      <w:r/>
      <w:bookmarkEnd w:id="0"/>
      <w:r>
        <w:rPr>
          <w:b/>
          <w:bCs/>
          <w:color w:val="000000"/>
        </w:rPr>
        <w:t xml:space="preserve">2.1. Трудоемкость освоения </w:t>
      </w:r>
      <w:bookmarkEnd w:id="0"/>
      <w:r>
        <w:rPr>
          <w:b/>
          <w:bCs/>
          <w:color w:val="000000"/>
        </w:rPr>
        <w:t xml:space="preserve">дисциплины </w:t>
      </w:r>
      <w:r/>
      <w:r/>
    </w:p>
    <w:p>
      <w:pPr>
        <w:ind w:left="-18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0"/>
          <w:szCs w:val="20"/>
          <w:u w:val="single"/>
        </w:rPr>
      </w:pPr>
      <w:r>
        <w:rPr>
          <w:rFonts w:ascii="Times New Roman" w:hAnsi="Times New Roman" w:eastAsia="Times New Roman"/>
          <w:b/>
          <w:sz w:val="20"/>
          <w:szCs w:val="20"/>
          <w:u w:val="single"/>
        </w:rPr>
      </w:r>
      <w:r>
        <w:rPr>
          <w:rFonts w:ascii="Times New Roman" w:hAnsi="Times New Roman" w:eastAsia="Times New Roman"/>
          <w:b/>
          <w:sz w:val="20"/>
          <w:szCs w:val="20"/>
          <w:u w:val="single"/>
        </w:rPr>
      </w:r>
      <w:r>
        <w:rPr>
          <w:rFonts w:ascii="Times New Roman" w:hAnsi="Times New Roman" w:eastAsia="Times New Roman"/>
          <w:b/>
          <w:sz w:val="20"/>
          <w:szCs w:val="20"/>
          <w:u w:val="single"/>
        </w:rPr>
      </w: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544"/>
        <w:gridCol w:w="2026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spacing w:before="0" w:beforeAutospacing="0" w:after="0" w:afterAutospacing="0"/>
            </w:pPr>
            <w:r/>
            <w:bookmarkStart w:id="0" w:name="undefined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0"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62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 в форме экзамена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tabs>
          <w:tab w:val="num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tabs>
          <w:tab w:val="num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tabs>
          <w:tab w:val="num" w:pos="0" w:leader="none"/>
        </w:tabs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20" w:bottom="720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left"/>
        <w:tabs>
          <w:tab w:val="num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Style w:val="870"/>
        <w:tblW w:w="5000" w:type="pct"/>
        <w:tblLayout w:type="fixed"/>
        <w:tblLook w:val="04A0" w:firstRow="1" w:lastRow="0" w:firstColumn="1" w:lastColumn="0" w:noHBand="0" w:noVBand="1"/>
      </w:tblPr>
      <w:tblGrid>
        <w:gridCol w:w="3092"/>
        <w:gridCol w:w="799"/>
        <w:gridCol w:w="971"/>
        <w:gridCol w:w="7295"/>
        <w:gridCol w:w="1702"/>
        <w:gridCol w:w="1755"/>
      </w:tblGrid>
      <w:tr>
        <w:tblPrEx/>
        <w:trPr/>
        <w:tc>
          <w:tcPr>
            <w:tcW w:w="990" w:type="pct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880"/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tcW w:w="990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1.1.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Терминология. Зарождение и появление проектной деятельности и метода проектов. Краткая история проектной деятельности.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инженерном проектировании. Методы проектирование. Основные этапы процесса проектирования. Сущность проектирования и его основные характеристики.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содержание работы. Задание на работу. Введение. Актуальность. Основная часть. Заключение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Задача, цель, объект, предмет, субъект и метод исследования. Гипотеза. Система шагов проведения исследования.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задание на проектирование (первичное описание) по сварке и анализ характеристики процесса технических решений, разработки карты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1.2. Основные виды сварки. Сварные соединения и швы.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видов и способов дуговой сварки.  Выбор способа сварки. Ручная дуговая сварка. Частично механизированная сварка плавлением в среде защитных газах. Преимущества и недостатки.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Сварные соединения и швы.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сварных соединений, типы и конструктивные элементы сварных швов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5264-80, ГОСТ 14771-76.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jc w:val="both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ЕСКД. Условные изображения и обозначения швов сварных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2.312-72. Структура условного обозначения стандартного шва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одиночной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сварной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pStyle w:val="871"/>
              <w:numPr>
                <w:ilvl w:val="0"/>
                <w:numId w:val="1"/>
              </w:numPr>
              <w:ind w:left="0" w:firstLine="0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5264-80. Ручная дуговая сварка. Соединения сварные. Основные типы, конструктивные элементы и размеры. ГОСТ 14771-76</w:t>
            </w:r>
            <w:r>
              <w:rPr>
                <w:rFonts w:ascii="Times New Roman" w:hAnsi="Times New Roman" w:cs="Times New Roman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уговая сварка в защитном газе. Соединения сварные.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типы, конструктивные элементы и размеры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jc w:val="both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Лабораторно-практическая работа № 1. Расчет и определение типов и конструктивных элементов сварных швов согласно ГОСТ 5264-80, ГОСТ 14771-76. Схема заполнения шва.  Размеры сварного шва.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1.3. Выбор и обоснование сварочного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для полуавтоматической сварки MIG/MAG: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MC-351MX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МПЗ-31 МХ. Техническая характеристика.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для полуавтоматической сварки REHM MEGA.PULS FOCUS 400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для аргонодуговой сварки TIG: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МС-350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AC/DC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Лабораторно-практическая работа №2. Расчет режимов сварки плавлением. Выбор расчетной схемы процесса. Алгоритм расчета РДС.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 режимов сварки плавлением. Выбор расчетной схемы процесса. Алгоритм расчета частично механизированной сварки в среде защитных газов.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1.4. Выбор и обоснование основного материала для изготовления сварной конструкции и его свариваемость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jc w:val="both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и механические свойства углеродистых, конструкционных и легированных сталей.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jc w:val="both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свариваемость.  Группы по свариваемости. Оценка свариваемости стали по эквиваленту углерода, по склонности к образованию горячих и холодных трещин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Лабораторно-практическая работа № 3. Расчет свариваемости сталей по формуле эквивалент углерода. Расчет температуры подогрева.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1.4. Технологические инструкции по сварке и технологические карты сварки.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инструкция по сварке: документ, предназначенный для выполнения сварочных работ и содержащий описание технологических процессов подготовки, сборки, сварки и сопутствующих процессов.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оборудованию, материалам и контролю, а также порядок исправления дефектов сварных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карта сварки: документ, содержащий в краткой форме информацию о сварке конкретных или однотипных сварных соединений с указанием их характеристик.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Сварочное оборудование, параметры сборки, сварки и требований к контролю,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позволяющий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сварное соединение в соответствии с требованиями нормативной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1.5. Выбор и обоснование сварочных материалов.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сварочных материалов. ГОСТ 9467 -75.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металлические для ручной дуговой сварки конструкционных и теплоустойчивых сталей. Типы.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2246-70 Проволока стальная сварочная. Технические условия.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8050-85. Двуокись углерода газообразная и жидкая. Технические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5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Лабораторно-практическая работа № 4. Выбор сварочных материалов.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1.6.  Выбор и обоснование подготовительных операций перед сваркой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слесарных операций: назначение, сущность слесарных операций.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Правка. Разметка. Рациональный раскрой металла.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подготовки изделий и кромок под сварку.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Типы разделки кромок под сварку.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труда при выполнении слесарных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1.7.  Выбор и требования к сборке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и обоснование схемы сборки.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сборки и составление схемы.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1.8. Технологические требования к сварке.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сварки коротких швов.   Наложение прихваток и их кол-ва.  Требования к зажиганию сварочной дуги.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разделки кромок.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зачистки сварных швов и прилегающих к ней участки от шлака и брызг.   Выбор метода контроля.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1.9 Оформление проекта.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Конструкторский этап. Изучение сборочной единицы. Выполнение структурной схемы сборочной единицы. Составление спецификации.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сборочного чертежа. Технологический этап. Заполнение карты технологического процесса сварки. Характеристика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Сварочный материал.  Конструктивные элементы подготовленных кромок и сварного шва. Размеры сварного шва.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Сварочное оборудование.  Требования к поверхностям деталей под сварку.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к сварке. Технологические требования к сварке. Параметры режима сварки.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текста работы. Правила оформления заголовков. Нумерация разделов и пунктов. Оформление таблиц, иллюстраций. Формулы и уравнение расчетов. Правила оформления ссылок.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1.10.  Структура доклада. Подготовка доклада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доклада. Вступление. Введение. Основная часть. Заключение. Критерии оценки доклада.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доклада. Публичное выступление.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2" w:type="pct"/>
            <w:vMerge w:val="continue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restar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1.11.   Предварительная защита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290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лабораторных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90" w:type="pct"/>
            <w:vMerge w:val="continue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43-44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36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gridSpan w:val="4"/>
            <w:tcW w:w="389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gridSpan w:val="4"/>
            <w:tcW w:w="389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gridSpan w:val="4"/>
            <w:tcW w:w="3893" w:type="pct"/>
            <w:textDirection w:val="lrTb"/>
            <w:noWrap w:val="false"/>
          </w:tcPr>
          <w:p>
            <w:pPr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45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62" w:type="pct"/>
            <w:textDirection w:val="lrTb"/>
            <w:noWrap w:val="false"/>
          </w:tcPr>
          <w:p>
            <w:pPr>
              <w:jc w:val="center"/>
              <w:tabs>
                <w:tab w:val="num" w:pos="0" w:leader="none"/>
                <w:tab w:val="left" w:pos="507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tabs>
          <w:tab w:val="num" w:pos="0" w:leader="none"/>
          <w:tab w:val="left" w:pos="507" w:leader="none"/>
        </w:tabs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720" w:right="720" w:bottom="720" w:left="720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_Toc152334671"/>
      <w:r/>
      <w:bookmarkStart w:id="3" w:name="_Toc156294574"/>
      <w:r/>
      <w:bookmarkStart w:id="4" w:name="_Toc156825296"/>
      <w:r/>
      <w:bookmarkEnd w:id="2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1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5" w:name="_Toc152334672"/>
      <w:r/>
      <w:bookmarkStart w:id="6" w:name="_Toc156294575"/>
      <w:r/>
      <w:bookmarkStart w:id="7" w:name="_Toc156825297"/>
      <w:r/>
      <w:bookmarkEnd w:id="5"/>
      <w:r/>
      <w:bookmarkEnd w:id="6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Style w:val="8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69"/>
        <w:gridCol w:w="6205"/>
      </w:tblGrid>
      <w:tr>
        <w:tblPrEx/>
        <w:trPr>
          <w:trHeight w:val="1356"/>
        </w:trPr>
        <w:tc>
          <w:tcPr>
            <w:tcW w:w="3369" w:type="dxa"/>
            <w:textDirection w:val="lrTb"/>
            <w:noWrap w:val="false"/>
          </w:tcPr>
          <w:p>
            <w:pPr>
              <w:ind w:right="2" w:firstLine="567"/>
              <w:jc w:val="both"/>
              <w:tabs>
                <w:tab w:val="num" w:pos="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Лаборатория программирования для автоматизированных систем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05" w:type="dxa"/>
            <w:textDirection w:val="lrTb"/>
            <w:noWrap w:val="false"/>
          </w:tcPr>
          <w:p>
            <w:pPr>
              <w:ind w:right="2"/>
              <w:jc w:val="both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Базовое устройство для установки клавиатуры ЧПУ - 12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r>
          </w:p>
          <w:p>
            <w:pPr>
              <w:ind w:right="2"/>
              <w:jc w:val="both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места студентов, оборудованные ПК - 15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2"/>
              <w:jc w:val="both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Доска аудиторная перекатная Проектор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spacing w:after="120" w:line="271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1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1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2"/>
        <w:jc w:val="both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1.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 Колесниченко, Н. М. Инженерная и компьютерная гра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фика: Учебное пособие / Колесниченко Н.М., Черняева Н.Н. - Вологда: Инфра-Инженерия, 2018. - 236 с.: ISBN 978-5-9729-0199-9. - Текст: электронный. - URL: https://znanium.com/catalog/product/989265 (дата обращения: 09.06.2021). – Режим доступа: по подписке.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right="2" w:firstLine="567"/>
        <w:spacing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3.2.2.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Дополнительная литература: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right="2" w:firstLine="567"/>
        <w:jc w:val="both"/>
        <w:spacing w:after="0"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Аверин В.Н. Компьютерная инженерная графика. - 7-е изд., стер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224 с. – М., 17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right="2" w:firstLine="567"/>
        <w:jc w:val="both"/>
        <w:spacing w:after="0"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Дегтярев В.М., </w:t>
      </w:r>
      <w:r>
        <w:rPr>
          <w:rFonts w:ascii="Times New Roman" w:hAnsi="Times New Roman" w:cs="Times New Roman"/>
          <w:sz w:val="24"/>
          <w:szCs w:val="24"/>
        </w:rPr>
        <w:t xml:space="preserve">Затыльникова</w:t>
      </w:r>
      <w:r>
        <w:rPr>
          <w:rFonts w:ascii="Times New Roman" w:hAnsi="Times New Roman" w:cs="Times New Roman"/>
          <w:sz w:val="24"/>
          <w:szCs w:val="24"/>
        </w:rPr>
        <w:t xml:space="preserve"> В.П. Инженерная и компьютерная графика: учебник для студ. учреждений </w:t>
      </w:r>
      <w:r>
        <w:rPr>
          <w:rFonts w:ascii="Times New Roman" w:hAnsi="Times New Roman" w:cs="Times New Roman"/>
          <w:sz w:val="24"/>
          <w:szCs w:val="24"/>
        </w:rPr>
        <w:t xml:space="preserve">высш</w:t>
      </w:r>
      <w:r>
        <w:rPr>
          <w:rFonts w:ascii="Times New Roman" w:hAnsi="Times New Roman" w:cs="Times New Roman"/>
          <w:sz w:val="24"/>
          <w:szCs w:val="24"/>
        </w:rPr>
        <w:t xml:space="preserve">. образования. - 6-е изд., стер</w:t>
      </w:r>
      <w:r>
        <w:rPr>
          <w:rFonts w:ascii="Times New Roman" w:hAnsi="Times New Roman" w:cs="Times New Roman"/>
          <w:sz w:val="24"/>
          <w:szCs w:val="24"/>
        </w:rPr>
        <w:t xml:space="preserve">., – </w:t>
      </w:r>
      <w:r>
        <w:rPr>
          <w:rFonts w:ascii="Times New Roman" w:hAnsi="Times New Roman" w:cs="Times New Roman"/>
          <w:sz w:val="24"/>
          <w:szCs w:val="24"/>
        </w:rPr>
        <w:t xml:space="preserve">М.: Издательский центр «Академия», 2016. – 240 с.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2" w:firstLine="567"/>
        <w:jc w:val="both"/>
        <w:spacing w:line="360" w:lineRule="auto"/>
        <w:tabs>
          <w:tab w:val="num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2" w:firstLine="567"/>
        <w:jc w:val="both"/>
        <w:spacing w:line="360" w:lineRule="auto"/>
        <w:tabs>
          <w:tab w:val="num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95"/>
        <w:gridCol w:w="3260"/>
        <w:gridCol w:w="2835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техническое черчение и основы инженерной графики;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материаловедения;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сведения по метрологии, стандартизации и сертификации;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технической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приводы с числовым программным управлением и промышленных роботов;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систему автоматизированного проектирования технологических процессов;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принципы проектирования участков и цехов;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цифрового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инструменты и инструментальные системы;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классификацию, назначение и область применения режущих инструментов;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и средства контроля;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типовые технологические процессы изготовления деталей машин, методику их проектирования и оптимизации;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виды заготовок и методы их получения;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отработки конструкций деталей на технологичность;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расчета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межпереходных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межоперационных размеров, припусков и допусков;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формообразования при обработке деталей резанием и с применением аддитивных методов;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расчета режимов резания и норм времени на операции металлорежущей обработки;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технологическую оснастку, ее классификацию, расчет и проектирование;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 единой системы классификации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проектирования маршрутных и операционных металлообрабатывающих и аддитивных технологий;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Показывает 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черчение и основы инженерной графики;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-основ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материаловедения;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-основных сведений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метрологии, стандартизации и сертификации;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-основ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классификации, назначении и принципов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об основах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автоматизации технологических процессов и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 приводах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числовым программным управлением и промышленных роботов;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системе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автоматизированного проектирования технологических процессов;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принципах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проектирования участков и цехов;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об основах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цифрового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об инструментах и инструментальных системах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классификации, назначении и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применения режущих инструментов;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классификации, назначении,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применения металлорежущего и аддитивного оборудования, назначение и конструктивно-технологические показатели качества изготовляемых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деталей, способы и средства контроля;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-демонстрирует знания о типовых технологических процессах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изготовления деталей машин, методику их проектирования и оптимизации;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видах заготовок и методах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их получения;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отработки конструкций деталей на технологичность;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методики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межпереходных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межоперационных размеров, припусков и допусков;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способах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формообразования при обработке деталей резанием и с применением аддитивных методов;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методике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расчета режимов резания и норм времени на операции металлорежущей обработки;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оснастк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е, ее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расчет и проектирование;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классификации баз, назначении и правил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формирования комплектов технологических баз ресурсосбережения и безопасности труда на участках механической обработки и аддитивного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о методике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проектирования маршрутных и операционных металлообрабатывающих и аддитивных технологий;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и понимать чертежи, и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необходимую для выполнения работы информацию, ее состав в соответствии с принятым процессом выполнения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 по изготовлению деталей;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тип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разрабатывать планировки участков механических цехов машиностроительных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проводить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оформлять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пакеты прикладных программ (CAD/CAM системы) для разработки конструкторской документации и проектирования технологических процессов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механической обработки и аддитивного изготовления деталей.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обеспечивает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чертежи, и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необходимую для выполнения работы информацию, ее состав в соответствии с принятым процессом выполнения работ по изготовлению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деталей;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разрабатывает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планировки участков механических цехов машиностроительных производств;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использует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оформляет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2" w:firstLine="567"/>
              <w:tabs>
                <w:tab w:val="num" w:pos="0" w:leader="none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использует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пакеты прикладных программ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деталей.</w:t>
            </w:r>
            <w:bookmarkStart w:id="9" w:name="_GoBack"/>
            <w:r/>
            <w:bookmarkEnd w:id="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right="2"/>
        <w:spacing w:line="360" w:lineRule="auto"/>
        <w:tabs>
          <w:tab w:val="num" w:pos="0" w:leader="none"/>
          <w:tab w:val="left" w:pos="108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num" w:pos="0" w:leader="none"/>
          <w:tab w:val="left" w:pos="50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10" w:h="16840" w:orient="portrait"/>
      <w:pgMar w:top="1134" w:right="851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Batang">
    <w:panose1 w:val="02020603020101020101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1"/>
  </w:num>
  <w:num w:numId="7">
    <w:abstractNumId w:val="3"/>
  </w:num>
  <w:num w:numId="8">
    <w:abstractNumId w:val="14"/>
  </w:num>
  <w:num w:numId="9">
    <w:abstractNumId w:val="6"/>
  </w:num>
  <w:num w:numId="10">
    <w:abstractNumId w:val="12"/>
  </w:num>
  <w:num w:numId="11">
    <w:abstractNumId w:val="0"/>
  </w:num>
  <w:num w:numId="12">
    <w:abstractNumId w:val="4"/>
  </w:num>
  <w:num w:numId="13">
    <w:abstractNumId w:val="10"/>
  </w:num>
  <w:num w:numId="14">
    <w:abstractNumId w:val="7"/>
  </w:num>
  <w:num w:numId="15">
    <w:abstractNumId w:val="8"/>
  </w:num>
  <w:num w:numId="16">
    <w:abstractNumId w:val="17"/>
  </w:num>
  <w:num w:numId="17">
    <w:abstractNumId w:val="16"/>
  </w:num>
  <w:num w:numId="18">
    <w:abstractNumId w:val="1"/>
  </w:num>
  <w:num w:numId="19">
    <w:abstractNumId w:val="2"/>
  </w:num>
  <w:num w:numId="20">
    <w:abstractNumId w:val="19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701"/>
    <w:link w:val="693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01"/>
    <w:link w:val="714"/>
    <w:uiPriority w:val="10"/>
    <w:rPr>
      <w:sz w:val="48"/>
      <w:szCs w:val="48"/>
    </w:rPr>
  </w:style>
  <w:style w:type="character" w:styleId="37">
    <w:name w:val="Subtitle Char"/>
    <w:basedOn w:val="701"/>
    <w:link w:val="716"/>
    <w:uiPriority w:val="11"/>
    <w:rPr>
      <w:sz w:val="24"/>
      <w:szCs w:val="24"/>
    </w:rPr>
  </w:style>
  <w:style w:type="character" w:styleId="39">
    <w:name w:val="Quote Char"/>
    <w:link w:val="718"/>
    <w:uiPriority w:val="29"/>
    <w:rPr>
      <w:i/>
    </w:rPr>
  </w:style>
  <w:style w:type="character" w:styleId="41">
    <w:name w:val="Intense Quote Char"/>
    <w:link w:val="720"/>
    <w:uiPriority w:val="30"/>
    <w:rPr>
      <w:i/>
    </w:rPr>
  </w:style>
  <w:style w:type="character" w:styleId="43">
    <w:name w:val="Header Char"/>
    <w:basedOn w:val="701"/>
    <w:link w:val="722"/>
    <w:uiPriority w:val="99"/>
  </w:style>
  <w:style w:type="character" w:styleId="47">
    <w:name w:val="Caption Char"/>
    <w:basedOn w:val="726"/>
    <w:link w:val="724"/>
    <w:uiPriority w:val="99"/>
  </w:style>
  <w:style w:type="character" w:styleId="176">
    <w:name w:val="Footnote Text Char"/>
    <w:link w:val="853"/>
    <w:uiPriority w:val="99"/>
    <w:rPr>
      <w:sz w:val="18"/>
    </w:rPr>
  </w:style>
  <w:style w:type="character" w:styleId="179">
    <w:name w:val="Endnote Text Char"/>
    <w:link w:val="856"/>
    <w:uiPriority w:val="99"/>
    <w:rPr>
      <w:sz w:val="20"/>
    </w:rPr>
  </w:style>
  <w:style w:type="paragraph" w:styleId="691" w:default="1">
    <w:name w:val="Normal"/>
    <w:qFormat/>
  </w:style>
  <w:style w:type="paragraph" w:styleId="692">
    <w:name w:val="Heading 1"/>
    <w:basedOn w:val="691"/>
    <w:link w:val="874"/>
    <w:uiPriority w:val="1"/>
    <w:qFormat/>
    <w:pPr>
      <w:ind w:left="642"/>
      <w:spacing w:after="0" w:line="275" w:lineRule="exact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  <w:lang w:val="en-US"/>
    </w:rPr>
  </w:style>
  <w:style w:type="paragraph" w:styleId="693">
    <w:name w:val="Heading 2"/>
    <w:basedOn w:val="691"/>
    <w:next w:val="691"/>
    <w:link w:val="7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4">
    <w:name w:val="Heading 3"/>
    <w:basedOn w:val="691"/>
    <w:next w:val="691"/>
    <w:link w:val="7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5">
    <w:name w:val="Heading 4"/>
    <w:basedOn w:val="691"/>
    <w:next w:val="691"/>
    <w:link w:val="7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91"/>
    <w:next w:val="691"/>
    <w:link w:val="70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8">
    <w:name w:val="Heading 7"/>
    <w:basedOn w:val="691"/>
    <w:next w:val="691"/>
    <w:link w:val="7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9">
    <w:name w:val="Heading 8"/>
    <w:basedOn w:val="691"/>
    <w:next w:val="691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0">
    <w:name w:val="Heading 9"/>
    <w:basedOn w:val="691"/>
    <w:next w:val="691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character" w:styleId="704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05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06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707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08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09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10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12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No Spacing"/>
    <w:uiPriority w:val="1"/>
    <w:qFormat/>
    <w:pPr>
      <w:spacing w:after="0" w:line="240" w:lineRule="auto"/>
    </w:pPr>
  </w:style>
  <w:style w:type="paragraph" w:styleId="714">
    <w:name w:val="Title"/>
    <w:basedOn w:val="691"/>
    <w:next w:val="691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 w:customStyle="1">
    <w:name w:val="Название Знак"/>
    <w:basedOn w:val="701"/>
    <w:link w:val="714"/>
    <w:uiPriority w:val="10"/>
    <w:rPr>
      <w:sz w:val="48"/>
      <w:szCs w:val="48"/>
    </w:rPr>
  </w:style>
  <w:style w:type="paragraph" w:styleId="716">
    <w:name w:val="Subtitle"/>
    <w:basedOn w:val="691"/>
    <w:next w:val="691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 w:customStyle="1">
    <w:name w:val="Подзаголовок Знак"/>
    <w:basedOn w:val="701"/>
    <w:link w:val="716"/>
    <w:uiPriority w:val="11"/>
    <w:rPr>
      <w:sz w:val="24"/>
      <w:szCs w:val="24"/>
    </w:rPr>
  </w:style>
  <w:style w:type="paragraph" w:styleId="718">
    <w:name w:val="Quote"/>
    <w:basedOn w:val="691"/>
    <w:next w:val="691"/>
    <w:link w:val="719"/>
    <w:uiPriority w:val="29"/>
    <w:qFormat/>
    <w:pPr>
      <w:ind w:left="720" w:right="720"/>
    </w:pPr>
    <w:rPr>
      <w:i/>
    </w:rPr>
  </w:style>
  <w:style w:type="character" w:styleId="719" w:customStyle="1">
    <w:name w:val="Цитата 2 Знак"/>
    <w:link w:val="718"/>
    <w:uiPriority w:val="29"/>
    <w:rPr>
      <w:i/>
    </w:rPr>
  </w:style>
  <w:style w:type="paragraph" w:styleId="720">
    <w:name w:val="Intense Quote"/>
    <w:basedOn w:val="691"/>
    <w:next w:val="691"/>
    <w:link w:val="7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 w:customStyle="1">
    <w:name w:val="Выделенная цитата Знак"/>
    <w:link w:val="720"/>
    <w:uiPriority w:val="30"/>
    <w:rPr>
      <w:i/>
    </w:rPr>
  </w:style>
  <w:style w:type="paragraph" w:styleId="722">
    <w:name w:val="Header"/>
    <w:basedOn w:val="691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 w:customStyle="1">
    <w:name w:val="Верхний колонтитул Знак"/>
    <w:basedOn w:val="701"/>
    <w:link w:val="722"/>
    <w:uiPriority w:val="99"/>
  </w:style>
  <w:style w:type="paragraph" w:styleId="724">
    <w:name w:val="Footer"/>
    <w:basedOn w:val="691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 w:customStyle="1">
    <w:name w:val="Footer Char"/>
    <w:basedOn w:val="701"/>
    <w:uiPriority w:val="99"/>
  </w:style>
  <w:style w:type="paragraph" w:styleId="726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27" w:customStyle="1">
    <w:name w:val="Нижний колонтитул Знак"/>
    <w:link w:val="724"/>
    <w:uiPriority w:val="99"/>
  </w:style>
  <w:style w:type="table" w:styleId="728" w:customStyle="1">
    <w:name w:val="Table Grid Light"/>
    <w:basedOn w:val="70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 w:customStyle="1">
    <w:name w:val="Plain Table 1"/>
    <w:basedOn w:val="70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Plain Table 2"/>
    <w:basedOn w:val="7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Plain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Plain Table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Plain Table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1 Light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4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57" w:customStyle="1">
    <w:name w:val="Grid Table 4 - Accent 2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61" w:customStyle="1">
    <w:name w:val="Grid Table 4 - Accent 6"/>
    <w:basedOn w:val="7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 w:customStyle="1">
    <w:name w:val="Grid Table 5 Dark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6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71" w:customStyle="1">
    <w:name w:val="Grid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75" w:customStyle="1">
    <w:name w:val="Grid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76" w:customStyle="1">
    <w:name w:val="Grid Table 7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List Table 1 Light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List Table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5 Dark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6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20" w:customStyle="1">
    <w:name w:val="List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24" w:customStyle="1">
    <w:name w:val="List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 w:customStyle="1">
    <w:name w:val="List Table 7 Colorful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ned - Accent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34" w:customStyle="1">
    <w:name w:val="Lined - Accent 2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38" w:customStyle="1">
    <w:name w:val="Lined - Accent 6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1" w:customStyle="1">
    <w:name w:val="Bordered &amp; Lined - Accent 2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45" w:customStyle="1">
    <w:name w:val="Bordered &amp; Lined - Accent 6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48" w:customStyle="1">
    <w:name w:val="Bordered - Accent 2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52" w:customStyle="1">
    <w:name w:val="Bordered - Accent 6"/>
    <w:basedOn w:val="7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53">
    <w:name w:val="footnote text"/>
    <w:basedOn w:val="691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 w:customStyle="1">
    <w:name w:val="Текст сноски Знак"/>
    <w:link w:val="853"/>
    <w:uiPriority w:val="99"/>
    <w:rPr>
      <w:sz w:val="18"/>
    </w:rPr>
  </w:style>
  <w:style w:type="character" w:styleId="855">
    <w:name w:val="footnote reference"/>
    <w:basedOn w:val="701"/>
    <w:uiPriority w:val="99"/>
    <w:unhideWhenUsed/>
    <w:rPr>
      <w:vertAlign w:val="superscript"/>
    </w:rPr>
  </w:style>
  <w:style w:type="paragraph" w:styleId="856">
    <w:name w:val="endnote text"/>
    <w:basedOn w:val="691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 w:customStyle="1">
    <w:name w:val="Текст концевой сноски Знак"/>
    <w:link w:val="856"/>
    <w:uiPriority w:val="99"/>
    <w:rPr>
      <w:sz w:val="20"/>
    </w:rPr>
  </w:style>
  <w:style w:type="character" w:styleId="858">
    <w:name w:val="endnote reference"/>
    <w:basedOn w:val="701"/>
    <w:uiPriority w:val="99"/>
    <w:semiHidden/>
    <w:unhideWhenUsed/>
    <w:rPr>
      <w:vertAlign w:val="superscript"/>
    </w:rPr>
  </w:style>
  <w:style w:type="paragraph" w:styleId="859">
    <w:name w:val="toc 1"/>
    <w:basedOn w:val="691"/>
    <w:next w:val="691"/>
    <w:uiPriority w:val="39"/>
    <w:unhideWhenUsed/>
    <w:pPr>
      <w:spacing w:after="57"/>
    </w:pPr>
  </w:style>
  <w:style w:type="paragraph" w:styleId="860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861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862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863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864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865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866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867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691"/>
    <w:next w:val="691"/>
    <w:uiPriority w:val="99"/>
    <w:unhideWhenUsed/>
    <w:pPr>
      <w:spacing w:after="0"/>
    </w:pPr>
  </w:style>
  <w:style w:type="table" w:styleId="870">
    <w:name w:val="Table Grid"/>
    <w:basedOn w:val="70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71">
    <w:name w:val="List Paragraph"/>
    <w:basedOn w:val="691"/>
    <w:uiPriority w:val="1"/>
    <w:qFormat/>
    <w:pPr>
      <w:contextualSpacing/>
      <w:ind w:left="720"/>
    </w:pPr>
  </w:style>
  <w:style w:type="paragraph" w:styleId="872">
    <w:name w:val="Body Text"/>
    <w:basedOn w:val="691"/>
    <w:link w:val="873"/>
    <w:uiPriority w:val="1"/>
    <w:qFormat/>
    <w:pPr>
      <w:ind w:left="642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873" w:customStyle="1">
    <w:name w:val="Основной текст Знак"/>
    <w:basedOn w:val="701"/>
    <w:link w:val="872"/>
    <w:uiPriority w:val="1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874" w:customStyle="1">
    <w:name w:val="Заголовок 1 Знак"/>
    <w:basedOn w:val="701"/>
    <w:link w:val="692"/>
    <w:uiPriority w:val="1"/>
    <w:rPr>
      <w:rFonts w:ascii="Times New Roman" w:hAnsi="Times New Roman" w:eastAsia="Times New Roman" w:cs="Times New Roman"/>
      <w:b/>
      <w:bCs/>
      <w:sz w:val="24"/>
      <w:szCs w:val="24"/>
      <w:lang w:val="en-US"/>
    </w:rPr>
  </w:style>
  <w:style w:type="character" w:styleId="875">
    <w:name w:val="Hyperlink"/>
    <w:semiHidden/>
    <w:unhideWhenUsed/>
    <w:rPr>
      <w:color w:val="0000ff"/>
      <w:u w:val="single"/>
    </w:rPr>
  </w:style>
  <w:style w:type="paragraph" w:styleId="876">
    <w:name w:val="Balloon Text"/>
    <w:basedOn w:val="691"/>
    <w:link w:val="87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7" w:customStyle="1">
    <w:name w:val="Текст выноски Знак"/>
    <w:basedOn w:val="701"/>
    <w:link w:val="876"/>
    <w:uiPriority w:val="99"/>
    <w:semiHidden/>
    <w:rPr>
      <w:rFonts w:ascii="Tahoma" w:hAnsi="Tahoma" w:cs="Tahoma"/>
      <w:sz w:val="16"/>
      <w:szCs w:val="16"/>
    </w:rPr>
  </w:style>
  <w:style w:type="paragraph" w:styleId="878" w:customStyle="1">
    <w:name w:val="docdata"/>
    <w:basedOn w:val="69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9">
    <w:name w:val="Normal (Web)"/>
    <w:basedOn w:val="69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0" w:customStyle="1">
    <w:name w:val="1331"/>
    <w:basedOn w:val="701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722A6-B087-4E3A-BF18-0EB846836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Юлия Кисаубаева</cp:lastModifiedBy>
  <cp:revision>60</cp:revision>
  <dcterms:created xsi:type="dcterms:W3CDTF">2023-09-22T12:27:00Z</dcterms:created>
  <dcterms:modified xsi:type="dcterms:W3CDTF">2025-07-04T07:43:32Z</dcterms:modified>
</cp:coreProperties>
</file>